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62" w:rsidRPr="00C45762" w:rsidRDefault="00C45762" w:rsidP="00C45762">
      <w:pPr>
        <w:shd w:val="clear" w:color="auto" w:fill="FFFFFF"/>
        <w:spacing w:after="199" w:line="603" w:lineRule="atLeast"/>
        <w:jc w:val="center"/>
        <w:textAlignment w:val="baseline"/>
        <w:rPr>
          <w:rFonts w:ascii="Arial" w:eastAsia="Times New Roman" w:hAnsi="Arial" w:cs="Arial"/>
          <w:b/>
          <w:bCs/>
          <w:color w:val="222222"/>
          <w:sz w:val="27"/>
          <w:szCs w:val="27"/>
          <w:lang w:eastAsia="ru-RU"/>
        </w:rPr>
      </w:pPr>
      <w:r w:rsidRPr="00C45762">
        <w:rPr>
          <w:rFonts w:ascii="Arial" w:eastAsia="Times New Roman" w:hAnsi="Arial" w:cs="Arial"/>
          <w:b/>
          <w:bCs/>
          <w:color w:val="222222"/>
          <w:sz w:val="27"/>
          <w:szCs w:val="27"/>
          <w:lang w:eastAsia="ru-RU"/>
        </w:rPr>
        <w:t>МИНИСТЕРСТВО ПРОСВЕЩЕНИЯ РОССИЙСКОЙ ФЕДЕРАЦИИ</w:t>
      </w:r>
    </w:p>
    <w:p w:rsidR="00C45762" w:rsidRPr="00C45762" w:rsidRDefault="00C45762" w:rsidP="00C45762">
      <w:pPr>
        <w:shd w:val="clear" w:color="auto" w:fill="FFFFFF"/>
        <w:spacing w:after="199" w:line="603" w:lineRule="atLeast"/>
        <w:jc w:val="center"/>
        <w:textAlignment w:val="baseline"/>
        <w:rPr>
          <w:rFonts w:ascii="Arial" w:eastAsia="Times New Roman" w:hAnsi="Arial" w:cs="Arial"/>
          <w:b/>
          <w:bCs/>
          <w:color w:val="222222"/>
          <w:sz w:val="27"/>
          <w:szCs w:val="27"/>
          <w:lang w:eastAsia="ru-RU"/>
        </w:rPr>
      </w:pPr>
      <w:r w:rsidRPr="00C45762">
        <w:rPr>
          <w:rFonts w:ascii="Arial" w:eastAsia="Times New Roman" w:hAnsi="Arial" w:cs="Arial"/>
          <w:b/>
          <w:bCs/>
          <w:color w:val="222222"/>
          <w:sz w:val="27"/>
          <w:szCs w:val="27"/>
          <w:lang w:eastAsia="ru-RU"/>
        </w:rPr>
        <w:t>ДЕПАРТАМЕНТ ГОСУДАРСТВЕННОЙ ПОЛИТИКИ И УПРАВЛЕНИЯ В СФЕРЕ</w:t>
      </w:r>
      <w:r w:rsidRPr="00C45762">
        <w:rPr>
          <w:rFonts w:ascii="Arial" w:eastAsia="Times New Roman" w:hAnsi="Arial" w:cs="Arial"/>
          <w:b/>
          <w:bCs/>
          <w:color w:val="222222"/>
          <w:sz w:val="27"/>
          <w:szCs w:val="27"/>
          <w:lang w:eastAsia="ru-RU"/>
        </w:rPr>
        <w:br/>
        <w:t>ОБЩЕГО ОБРАЗОВАНИЯ</w:t>
      </w:r>
    </w:p>
    <w:p w:rsidR="00C45762" w:rsidRPr="00C45762" w:rsidRDefault="00C45762" w:rsidP="00C45762">
      <w:pPr>
        <w:shd w:val="clear" w:color="auto" w:fill="FFFFFF"/>
        <w:spacing w:after="199" w:line="603" w:lineRule="atLeast"/>
        <w:jc w:val="center"/>
        <w:textAlignment w:val="baseline"/>
        <w:rPr>
          <w:rFonts w:ascii="Arial" w:eastAsia="Times New Roman" w:hAnsi="Arial" w:cs="Arial"/>
          <w:b/>
          <w:bCs/>
          <w:color w:val="222222"/>
          <w:sz w:val="27"/>
          <w:szCs w:val="27"/>
          <w:lang w:eastAsia="ru-RU"/>
        </w:rPr>
      </w:pPr>
      <w:r w:rsidRPr="00C45762">
        <w:rPr>
          <w:rFonts w:ascii="Arial" w:eastAsia="Times New Roman" w:hAnsi="Arial" w:cs="Arial"/>
          <w:b/>
          <w:bCs/>
          <w:color w:val="222222"/>
          <w:sz w:val="27"/>
          <w:szCs w:val="27"/>
          <w:lang w:eastAsia="ru-RU"/>
        </w:rPr>
        <w:t>ПИСЬМО</w:t>
      </w:r>
      <w:r w:rsidRPr="00C45762">
        <w:rPr>
          <w:rFonts w:ascii="Arial" w:eastAsia="Times New Roman" w:hAnsi="Arial" w:cs="Arial"/>
          <w:b/>
          <w:bCs/>
          <w:color w:val="222222"/>
          <w:sz w:val="27"/>
          <w:szCs w:val="27"/>
          <w:lang w:eastAsia="ru-RU"/>
        </w:rPr>
        <w:br/>
        <w:t>от 13 января 2023 г. N 03-49</w:t>
      </w:r>
    </w:p>
    <w:p w:rsidR="00C45762" w:rsidRPr="00C45762" w:rsidRDefault="00C45762" w:rsidP="00C45762">
      <w:pPr>
        <w:shd w:val="clear" w:color="auto" w:fill="FFFFFF"/>
        <w:spacing w:after="199" w:line="603" w:lineRule="atLeast"/>
        <w:jc w:val="center"/>
        <w:textAlignment w:val="baseline"/>
        <w:rPr>
          <w:rFonts w:ascii="Arial" w:eastAsia="Times New Roman" w:hAnsi="Arial" w:cs="Arial"/>
          <w:b/>
          <w:bCs/>
          <w:color w:val="222222"/>
          <w:sz w:val="27"/>
          <w:szCs w:val="27"/>
          <w:lang w:eastAsia="ru-RU"/>
        </w:rPr>
      </w:pPr>
      <w:r w:rsidRPr="00C45762">
        <w:rPr>
          <w:rFonts w:ascii="Arial" w:eastAsia="Times New Roman" w:hAnsi="Arial" w:cs="Arial"/>
          <w:b/>
          <w:bCs/>
          <w:color w:val="222222"/>
          <w:sz w:val="27"/>
          <w:szCs w:val="27"/>
          <w:lang w:eastAsia="ru-RU"/>
        </w:rPr>
        <w:t>О НАПРАВЛЕНИИ МЕТОДИЧЕСКИХ РЕКОМЕНДАЦИЙ</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Департамент государственной политики и управления в сфере общего образования </w:t>
      </w:r>
      <w:proofErr w:type="spellStart"/>
      <w:r w:rsidRPr="00C45762">
        <w:rPr>
          <w:rFonts w:ascii="Arial" w:eastAsia="Times New Roman" w:hAnsi="Arial" w:cs="Arial"/>
          <w:color w:val="222222"/>
          <w:sz w:val="27"/>
          <w:szCs w:val="27"/>
          <w:lang w:eastAsia="ru-RU"/>
        </w:rPr>
        <w:t>Минпросвещения</w:t>
      </w:r>
      <w:proofErr w:type="spellEnd"/>
      <w:r w:rsidRPr="00C45762">
        <w:rPr>
          <w:rFonts w:ascii="Arial" w:eastAsia="Times New Roman" w:hAnsi="Arial" w:cs="Arial"/>
          <w:color w:val="222222"/>
          <w:sz w:val="27"/>
          <w:szCs w:val="27"/>
          <w:lang w:eastAsia="ru-RU"/>
        </w:rPr>
        <w:t xml:space="preserve"> России (далее - Департамент) направляет для использования в работе методические рекомендации по системе оценки достижения </w:t>
      </w:r>
      <w:proofErr w:type="gramStart"/>
      <w:r w:rsidRPr="00C45762">
        <w:rPr>
          <w:rFonts w:ascii="Arial" w:eastAsia="Times New Roman" w:hAnsi="Arial" w:cs="Arial"/>
          <w:color w:val="222222"/>
          <w:sz w:val="27"/>
          <w:szCs w:val="27"/>
          <w:lang w:eastAsia="ru-RU"/>
        </w:rPr>
        <w:t>обучающимися</w:t>
      </w:r>
      <w:proofErr w:type="gramEnd"/>
      <w:r w:rsidRPr="00C45762">
        <w:rPr>
          <w:rFonts w:ascii="Arial" w:eastAsia="Times New Roman" w:hAnsi="Arial" w:cs="Arial"/>
          <w:color w:val="222222"/>
          <w:sz w:val="27"/>
          <w:szCs w:val="27"/>
          <w:lang w:eastAsia="ru-RU"/>
        </w:rPr>
        <w:t xml:space="preserve"> планируемых результатов освоения программ начального общего, основного общего и среднего общего образования.</w:t>
      </w:r>
    </w:p>
    <w:p w:rsidR="00C45762" w:rsidRPr="00C45762" w:rsidRDefault="00C45762" w:rsidP="00C45762">
      <w:pPr>
        <w:shd w:val="clear" w:color="auto" w:fill="FFFFFF"/>
        <w:spacing w:after="0" w:line="240" w:lineRule="auto"/>
        <w:textAlignment w:val="baseline"/>
        <w:rPr>
          <w:rFonts w:ascii="Arial" w:eastAsia="Times New Roman" w:hAnsi="Arial" w:cs="Arial"/>
          <w:color w:val="222222"/>
          <w:sz w:val="27"/>
          <w:szCs w:val="27"/>
          <w:lang w:eastAsia="ru-RU"/>
        </w:rPr>
      </w:pPr>
      <w:proofErr w:type="gramStart"/>
      <w:r w:rsidRPr="00C45762">
        <w:rPr>
          <w:rFonts w:ascii="Arial" w:eastAsia="Times New Roman" w:hAnsi="Arial" w:cs="Arial"/>
          <w:color w:val="222222"/>
          <w:sz w:val="27"/>
          <w:szCs w:val="27"/>
          <w:lang w:eastAsia="ru-RU"/>
        </w:rPr>
        <w:t>Департамент сообщает, что целевой раздел федеральных основных общеобразовательных программ, утвержденных </w:t>
      </w:r>
      <w:hyperlink r:id="rId4" w:history="1">
        <w:r w:rsidRPr="00C45762">
          <w:rPr>
            <w:rFonts w:ascii="Arial" w:eastAsia="Times New Roman" w:hAnsi="Arial" w:cs="Arial"/>
            <w:color w:val="1B6DFD"/>
            <w:sz w:val="27"/>
            <w:lang w:eastAsia="ru-RU"/>
          </w:rPr>
          <w:t>приказами Министерства просвещения Российской Федерации от 16 ноября 2022 г. N 992</w:t>
        </w:r>
      </w:hyperlink>
      <w:r w:rsidRPr="00C45762">
        <w:rPr>
          <w:rFonts w:ascii="Arial" w:eastAsia="Times New Roman" w:hAnsi="Arial" w:cs="Arial"/>
          <w:color w:val="222222"/>
          <w:sz w:val="27"/>
          <w:szCs w:val="27"/>
          <w:lang w:eastAsia="ru-RU"/>
        </w:rPr>
        <w:t> "Об утверждении федеральной основной общеобразовательной программы начального общего образования", от 16 ноября 2022 г. N 993 "Об утверждении федеральной основной общеобразовательной программы основного общего образования", от 23 ноября 2022 г. N 1014 "Об утверждении федеральной основной общеобразовательной программы</w:t>
      </w:r>
      <w:proofErr w:type="gramEnd"/>
      <w:r w:rsidRPr="00C45762">
        <w:rPr>
          <w:rFonts w:ascii="Arial" w:eastAsia="Times New Roman" w:hAnsi="Arial" w:cs="Arial"/>
          <w:color w:val="222222"/>
          <w:sz w:val="27"/>
          <w:szCs w:val="27"/>
          <w:lang w:eastAsia="ru-RU"/>
        </w:rPr>
        <w:t xml:space="preserve"> среднего общего образования" (далее - ФООП), включает систему </w:t>
      </w:r>
      <w:proofErr w:type="gramStart"/>
      <w:r w:rsidRPr="00C45762">
        <w:rPr>
          <w:rFonts w:ascii="Arial" w:eastAsia="Times New Roman" w:hAnsi="Arial" w:cs="Arial"/>
          <w:color w:val="222222"/>
          <w:sz w:val="27"/>
          <w:szCs w:val="27"/>
          <w:lang w:eastAsia="ru-RU"/>
        </w:rPr>
        <w:t>оценки достижения планируемых результатов освоения образовательной программы соответствующего уровня</w:t>
      </w:r>
      <w:proofErr w:type="gramEnd"/>
      <w:r w:rsidRPr="00C45762">
        <w:rPr>
          <w:rFonts w:ascii="Arial" w:eastAsia="Times New Roman" w:hAnsi="Arial" w:cs="Arial"/>
          <w:color w:val="222222"/>
          <w:sz w:val="27"/>
          <w:szCs w:val="27"/>
          <w:lang w:eastAsia="ru-RU"/>
        </w:rPr>
        <w:t>.</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Департамент информирует, что методические рекомендации по единой системе оценки достижения обучающимися планируемых результатов освоения программ учебных предметов в рамках введения ФООП будут направлены дополнительно.</w:t>
      </w:r>
    </w:p>
    <w:p w:rsidR="00C45762" w:rsidRPr="00C45762" w:rsidRDefault="00C45762" w:rsidP="00C45762">
      <w:pPr>
        <w:shd w:val="clear" w:color="auto" w:fill="FFFFFF"/>
        <w:spacing w:after="199" w:line="240" w:lineRule="auto"/>
        <w:jc w:val="right"/>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Заместитель директора Департамента</w:t>
      </w:r>
      <w:r w:rsidRPr="00C45762">
        <w:rPr>
          <w:rFonts w:ascii="Arial" w:eastAsia="Times New Roman" w:hAnsi="Arial" w:cs="Arial"/>
          <w:color w:val="222222"/>
          <w:sz w:val="27"/>
          <w:szCs w:val="27"/>
          <w:lang w:eastAsia="ru-RU"/>
        </w:rPr>
        <w:br/>
        <w:t>А.А.ТИМОФЕЕВА</w:t>
      </w:r>
    </w:p>
    <w:p w:rsidR="00C45762" w:rsidRPr="00C45762" w:rsidRDefault="00C45762" w:rsidP="00C45762">
      <w:pPr>
        <w:shd w:val="clear" w:color="auto" w:fill="FFFFFF"/>
        <w:spacing w:after="199" w:line="240" w:lineRule="auto"/>
        <w:jc w:val="right"/>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Приложение</w:t>
      </w:r>
    </w:p>
    <w:p w:rsidR="00C45762" w:rsidRPr="00C45762" w:rsidRDefault="00C45762" w:rsidP="00C45762">
      <w:pPr>
        <w:shd w:val="clear" w:color="auto" w:fill="FFFFFF"/>
        <w:spacing w:after="199" w:line="603" w:lineRule="atLeast"/>
        <w:jc w:val="center"/>
        <w:textAlignment w:val="baseline"/>
        <w:rPr>
          <w:rFonts w:ascii="Arial" w:eastAsia="Times New Roman" w:hAnsi="Arial" w:cs="Arial"/>
          <w:b/>
          <w:bCs/>
          <w:color w:val="222222"/>
          <w:sz w:val="27"/>
          <w:szCs w:val="27"/>
          <w:lang w:eastAsia="ru-RU"/>
        </w:rPr>
      </w:pPr>
      <w:r w:rsidRPr="00C45762">
        <w:rPr>
          <w:rFonts w:ascii="Arial" w:eastAsia="Times New Roman" w:hAnsi="Arial" w:cs="Arial"/>
          <w:b/>
          <w:bCs/>
          <w:color w:val="222222"/>
          <w:sz w:val="27"/>
          <w:szCs w:val="27"/>
          <w:lang w:eastAsia="ru-RU"/>
        </w:rPr>
        <w:t>МЕТОДИЧЕСКИЕ РЕКОМЕНДАЦИИ</w:t>
      </w:r>
      <w:r w:rsidRPr="00C45762">
        <w:rPr>
          <w:rFonts w:ascii="Arial" w:eastAsia="Times New Roman" w:hAnsi="Arial" w:cs="Arial"/>
          <w:b/>
          <w:bCs/>
          <w:color w:val="222222"/>
          <w:sz w:val="27"/>
          <w:szCs w:val="27"/>
          <w:lang w:eastAsia="ru-RU"/>
        </w:rPr>
        <w:br/>
        <w:t xml:space="preserve">ПО СИСТЕМЕ ОЦЕНКИ ДОСТИЖЕНИЯ </w:t>
      </w:r>
      <w:proofErr w:type="gramStart"/>
      <w:r w:rsidRPr="00C45762">
        <w:rPr>
          <w:rFonts w:ascii="Arial" w:eastAsia="Times New Roman" w:hAnsi="Arial" w:cs="Arial"/>
          <w:b/>
          <w:bCs/>
          <w:color w:val="222222"/>
          <w:sz w:val="27"/>
          <w:szCs w:val="27"/>
          <w:lang w:eastAsia="ru-RU"/>
        </w:rPr>
        <w:t>ОБУЧАЮЩИМИСЯ</w:t>
      </w:r>
      <w:proofErr w:type="gramEnd"/>
      <w:r w:rsidRPr="00C45762">
        <w:rPr>
          <w:rFonts w:ascii="Arial" w:eastAsia="Times New Roman" w:hAnsi="Arial" w:cs="Arial"/>
          <w:b/>
          <w:bCs/>
          <w:color w:val="222222"/>
          <w:sz w:val="27"/>
          <w:szCs w:val="27"/>
          <w:lang w:eastAsia="ru-RU"/>
        </w:rPr>
        <w:t xml:space="preserve"> </w:t>
      </w:r>
      <w:r w:rsidRPr="00C45762">
        <w:rPr>
          <w:rFonts w:ascii="Arial" w:eastAsia="Times New Roman" w:hAnsi="Arial" w:cs="Arial"/>
          <w:b/>
          <w:bCs/>
          <w:color w:val="222222"/>
          <w:sz w:val="27"/>
          <w:szCs w:val="27"/>
          <w:lang w:eastAsia="ru-RU"/>
        </w:rPr>
        <w:lastRenderedPageBreak/>
        <w:t>ПЛАНИРУЕМЫХ</w:t>
      </w:r>
      <w:r w:rsidRPr="00C45762">
        <w:rPr>
          <w:rFonts w:ascii="Arial" w:eastAsia="Times New Roman" w:hAnsi="Arial" w:cs="Arial"/>
          <w:b/>
          <w:bCs/>
          <w:color w:val="222222"/>
          <w:sz w:val="27"/>
          <w:szCs w:val="27"/>
          <w:lang w:eastAsia="ru-RU"/>
        </w:rPr>
        <w:br/>
        <w:t>РЕЗУЛЬТАТОВ ОСВОЕНИЯ ПРОГРАММ НАЧАЛЬНОГО ОБЩЕГО, ОСНОВНОГО</w:t>
      </w:r>
      <w:r w:rsidRPr="00C45762">
        <w:rPr>
          <w:rFonts w:ascii="Arial" w:eastAsia="Times New Roman" w:hAnsi="Arial" w:cs="Arial"/>
          <w:b/>
          <w:bCs/>
          <w:color w:val="222222"/>
          <w:sz w:val="27"/>
          <w:szCs w:val="27"/>
          <w:lang w:eastAsia="ru-RU"/>
        </w:rPr>
        <w:br/>
        <w:t>ОБЩЕГО И СРЕДНЕГО ОБЩЕГО ОБРАЗОВАНИЯ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Введение</w:t>
      </w:r>
    </w:p>
    <w:p w:rsidR="00C45762" w:rsidRPr="00C45762" w:rsidRDefault="00C45762" w:rsidP="00C45762">
      <w:pPr>
        <w:shd w:val="clear" w:color="auto" w:fill="FFFFFF"/>
        <w:spacing w:after="0"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В соответствии со статьей 28 Федерального </w:t>
      </w:r>
      <w:hyperlink r:id="rId5" w:history="1">
        <w:r w:rsidRPr="00C45762">
          <w:rPr>
            <w:rFonts w:ascii="Arial" w:eastAsia="Times New Roman" w:hAnsi="Arial" w:cs="Arial"/>
            <w:color w:val="1B6DFD"/>
            <w:sz w:val="27"/>
            <w:lang w:eastAsia="ru-RU"/>
          </w:rPr>
          <w:t>закона от 29 декабря 2012 г. N 273-ФЗ</w:t>
        </w:r>
      </w:hyperlink>
      <w:r w:rsidRPr="00C45762">
        <w:rPr>
          <w:rFonts w:ascii="Arial" w:eastAsia="Times New Roman" w:hAnsi="Arial" w:cs="Arial"/>
          <w:color w:val="222222"/>
          <w:sz w:val="27"/>
          <w:szCs w:val="27"/>
          <w:lang w:eastAsia="ru-RU"/>
        </w:rPr>
        <w:t xml:space="preserve"> "Об образовании в Российской Федерации" (далее - Федеральный закон) осуществление текущего контроля успеваемости и промежуточной аттестации обучающихся относится к компетенции образовательной организации. Образовательные организации устанавливают формы, периодичность и порядок их проведения; ведут индивидуальный учет результатов освоения </w:t>
      </w:r>
      <w:proofErr w:type="gramStart"/>
      <w:r w:rsidRPr="00C45762">
        <w:rPr>
          <w:rFonts w:ascii="Arial" w:eastAsia="Times New Roman" w:hAnsi="Arial" w:cs="Arial"/>
          <w:color w:val="222222"/>
          <w:sz w:val="27"/>
          <w:szCs w:val="27"/>
          <w:lang w:eastAsia="ru-RU"/>
        </w:rPr>
        <w:t>обучающимися</w:t>
      </w:r>
      <w:proofErr w:type="gramEnd"/>
      <w:r w:rsidRPr="00C45762">
        <w:rPr>
          <w:rFonts w:ascii="Arial" w:eastAsia="Times New Roman" w:hAnsi="Arial" w:cs="Arial"/>
          <w:color w:val="222222"/>
          <w:sz w:val="27"/>
          <w:szCs w:val="27"/>
          <w:lang w:eastAsia="ru-RU"/>
        </w:rPr>
        <w:t xml:space="preserve"> образовательных программ, а также хранят в архивах информацию об этих результатах на бумажных и (или) электронных носителях.</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Внедрение обновленных федеральных государственных образовательных стандартов начального общего, основного общего и среднего общего образования (далее - ФГОС общего образования), федеральных основных общеобразовательных программ актуализировало необходимость введения единых подходов к системе оценивания достижения </w:t>
      </w:r>
      <w:proofErr w:type="gramStart"/>
      <w:r w:rsidRPr="00C45762">
        <w:rPr>
          <w:rFonts w:ascii="Arial" w:eastAsia="Times New Roman" w:hAnsi="Arial" w:cs="Arial"/>
          <w:color w:val="222222"/>
          <w:sz w:val="27"/>
          <w:szCs w:val="27"/>
          <w:lang w:eastAsia="ru-RU"/>
        </w:rPr>
        <w:t>обучающимися</w:t>
      </w:r>
      <w:proofErr w:type="gramEnd"/>
      <w:r w:rsidRPr="00C45762">
        <w:rPr>
          <w:rFonts w:ascii="Arial" w:eastAsia="Times New Roman" w:hAnsi="Arial" w:cs="Arial"/>
          <w:color w:val="222222"/>
          <w:sz w:val="27"/>
          <w:szCs w:val="27"/>
          <w:lang w:eastAsia="ru-RU"/>
        </w:rPr>
        <w:t xml:space="preserve"> планируемых результатов освоения программ соответствующего уровня образования.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1. Общие положения.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Установленная ФГОС общего образования система оценки достижения обучающимися планируемых результатов освоения общеобразовательных программ на всех уровнях образования имеет единую структуру и строится на общих для всех уровней принципах и положениях.</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1.1. Ориентация оценки на управление качеством образования.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Принципиально важным положением организации системы оценки является выход за рамки контроля знаний. Ее важнейшей функцией становится ориентация образовательного процесса на достижение планируемых результатов, обеспечение на этой основе эффективной обратной связи, позволяющей осуществлять управление образовательным процессом. Это, в свою очередь, предполагает вовлеченность в оценочную деятельность не только педагогов, но и самих обучающихся.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lastRenderedPageBreak/>
        <w:t>Единым механизмом управления качеством образовательных результатов является ориентация на планируемые результаты и комплексный подход к их оценке.</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1.2. Внутреннее и внешнее оценивание.</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На всех уровнях школьного образования система оценивания включает различные формы оценки, которые можно условно разделить на две большие группы - внутреннее (</w:t>
      </w:r>
      <w:proofErr w:type="spellStart"/>
      <w:r w:rsidRPr="00C45762">
        <w:rPr>
          <w:rFonts w:ascii="Arial" w:eastAsia="Times New Roman" w:hAnsi="Arial" w:cs="Arial"/>
          <w:color w:val="222222"/>
          <w:sz w:val="27"/>
          <w:szCs w:val="27"/>
          <w:lang w:eastAsia="ru-RU"/>
        </w:rPr>
        <w:t>внутришкольное</w:t>
      </w:r>
      <w:proofErr w:type="spellEnd"/>
      <w:r w:rsidRPr="00C45762">
        <w:rPr>
          <w:rFonts w:ascii="Arial" w:eastAsia="Times New Roman" w:hAnsi="Arial" w:cs="Arial"/>
          <w:color w:val="222222"/>
          <w:sz w:val="27"/>
          <w:szCs w:val="27"/>
          <w:lang w:eastAsia="ru-RU"/>
        </w:rPr>
        <w:t xml:space="preserve">) оценивание и внешнее оценивание. Они направлены на выявление особенностей достижения </w:t>
      </w:r>
      <w:proofErr w:type="gramStart"/>
      <w:r w:rsidRPr="00C45762">
        <w:rPr>
          <w:rFonts w:ascii="Arial" w:eastAsia="Times New Roman" w:hAnsi="Arial" w:cs="Arial"/>
          <w:color w:val="222222"/>
          <w:sz w:val="27"/>
          <w:szCs w:val="27"/>
          <w:lang w:eastAsia="ru-RU"/>
        </w:rPr>
        <w:t>обучающимися</w:t>
      </w:r>
      <w:proofErr w:type="gramEnd"/>
      <w:r w:rsidRPr="00C45762">
        <w:rPr>
          <w:rFonts w:ascii="Arial" w:eastAsia="Times New Roman" w:hAnsi="Arial" w:cs="Arial"/>
          <w:color w:val="222222"/>
          <w:sz w:val="27"/>
          <w:szCs w:val="27"/>
          <w:lang w:eastAsia="ru-RU"/>
        </w:rPr>
        <w:t xml:space="preserve"> образовательных результатов.</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Внутреннее (</w:t>
      </w:r>
      <w:proofErr w:type="spellStart"/>
      <w:r w:rsidRPr="00C45762">
        <w:rPr>
          <w:rFonts w:ascii="Arial" w:eastAsia="Times New Roman" w:hAnsi="Arial" w:cs="Arial"/>
          <w:color w:val="222222"/>
          <w:sz w:val="27"/>
          <w:szCs w:val="27"/>
          <w:lang w:eastAsia="ru-RU"/>
        </w:rPr>
        <w:t>внутришкольное</w:t>
      </w:r>
      <w:proofErr w:type="spellEnd"/>
      <w:r w:rsidRPr="00C45762">
        <w:rPr>
          <w:rFonts w:ascii="Arial" w:eastAsia="Times New Roman" w:hAnsi="Arial" w:cs="Arial"/>
          <w:color w:val="222222"/>
          <w:sz w:val="27"/>
          <w:szCs w:val="27"/>
          <w:lang w:eastAsia="ru-RU"/>
        </w:rPr>
        <w:t>) оценивание предназначается для организации процесса обучения в классе по учебным предметам и регулируется локальными актами образовательной организации (положением) и должно включать:</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текущую оценку, представляющую собой процедуру оценки индивидуального продвижения </w:t>
      </w:r>
      <w:proofErr w:type="gramStart"/>
      <w:r w:rsidRPr="00C45762">
        <w:rPr>
          <w:rFonts w:ascii="Arial" w:eastAsia="Times New Roman" w:hAnsi="Arial" w:cs="Arial"/>
          <w:color w:val="222222"/>
          <w:sz w:val="27"/>
          <w:szCs w:val="27"/>
          <w:lang w:eastAsia="ru-RU"/>
        </w:rPr>
        <w:t>обучающихся</w:t>
      </w:r>
      <w:proofErr w:type="gramEnd"/>
      <w:r w:rsidRPr="00C45762">
        <w:rPr>
          <w:rFonts w:ascii="Arial" w:eastAsia="Times New Roman" w:hAnsi="Arial" w:cs="Arial"/>
          <w:color w:val="222222"/>
          <w:sz w:val="27"/>
          <w:szCs w:val="27"/>
          <w:lang w:eastAsia="ru-RU"/>
        </w:rPr>
        <w:t xml:space="preserve"> в освоении программы учебного предмета и определяемую учителем в соответствии с целями изучения тематического раздела, учебного модуля, учебного периода и пр.;</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промежуточную аттестацию, представляющую собой процедуру аттестации </w:t>
      </w:r>
      <w:proofErr w:type="gramStart"/>
      <w:r w:rsidRPr="00C45762">
        <w:rPr>
          <w:rFonts w:ascii="Arial" w:eastAsia="Times New Roman" w:hAnsi="Arial" w:cs="Arial"/>
          <w:color w:val="222222"/>
          <w:sz w:val="27"/>
          <w:szCs w:val="27"/>
          <w:lang w:eastAsia="ru-RU"/>
        </w:rPr>
        <w:t>обучающихся</w:t>
      </w:r>
      <w:proofErr w:type="gramEnd"/>
      <w:r w:rsidRPr="00C45762">
        <w:rPr>
          <w:rFonts w:ascii="Arial" w:eastAsia="Times New Roman" w:hAnsi="Arial" w:cs="Arial"/>
          <w:color w:val="222222"/>
          <w:sz w:val="27"/>
          <w:szCs w:val="27"/>
          <w:lang w:eastAsia="ru-RU"/>
        </w:rPr>
        <w:t xml:space="preserve"> по предмету (предметам), которая может проводиться по итогам учебного года или иного учебного периода;</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стартовые (диагностические) работы, направленные на оценку общей готовности обучающихся к обучению на данном уровне образования, готовности обучающихся к прохождению государственной итоговой аттестации и других процедур оценки качества образования;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комплексные (диагностические) работы, направленные на оценку достижения </w:t>
      </w:r>
      <w:proofErr w:type="gramStart"/>
      <w:r w:rsidRPr="00C45762">
        <w:rPr>
          <w:rFonts w:ascii="Arial" w:eastAsia="Times New Roman" w:hAnsi="Arial" w:cs="Arial"/>
          <w:color w:val="222222"/>
          <w:sz w:val="27"/>
          <w:szCs w:val="27"/>
          <w:lang w:eastAsia="ru-RU"/>
        </w:rPr>
        <w:t>обучающимися</w:t>
      </w:r>
      <w:proofErr w:type="gramEnd"/>
      <w:r w:rsidRPr="00C45762">
        <w:rPr>
          <w:rFonts w:ascii="Arial" w:eastAsia="Times New Roman" w:hAnsi="Arial" w:cs="Arial"/>
          <w:color w:val="222222"/>
          <w:sz w:val="27"/>
          <w:szCs w:val="27"/>
          <w:lang w:eastAsia="ru-RU"/>
        </w:rPr>
        <w:t xml:space="preserve"> предметных и метапредметных образовательных результатов.</w:t>
      </w:r>
    </w:p>
    <w:p w:rsidR="00C45762" w:rsidRPr="00C45762" w:rsidRDefault="00C45762" w:rsidP="00C45762">
      <w:pPr>
        <w:shd w:val="clear" w:color="auto" w:fill="FFFFFF"/>
        <w:spacing w:after="199" w:line="240" w:lineRule="auto"/>
        <w:jc w:val="center"/>
        <w:textAlignment w:val="baseline"/>
        <w:rPr>
          <w:rFonts w:ascii="Arial" w:eastAsia="Times New Roman" w:hAnsi="Arial" w:cs="Arial"/>
          <w:color w:val="222222"/>
          <w:sz w:val="27"/>
          <w:szCs w:val="27"/>
          <w:lang w:eastAsia="ru-RU"/>
        </w:rPr>
      </w:pPr>
      <w:r>
        <w:rPr>
          <w:rFonts w:ascii="Arial" w:eastAsia="Times New Roman" w:hAnsi="Arial" w:cs="Arial"/>
          <w:noProof/>
          <w:color w:val="1B6DFD"/>
          <w:sz w:val="27"/>
          <w:szCs w:val="27"/>
          <w:bdr w:val="none" w:sz="0" w:space="0" w:color="auto" w:frame="1"/>
          <w:lang w:eastAsia="ru-RU"/>
        </w:rPr>
        <w:drawing>
          <wp:inline distT="0" distB="0" distL="0" distR="0">
            <wp:extent cx="6932295" cy="861060"/>
            <wp:effectExtent l="19050" t="0" r="1905" b="0"/>
            <wp:docPr id="1" name="Рисунок 1" descr="https://avatars.mds.yandex.net/get-adfox-content/2462621/201030_adfox_1310107_3787127.e3ad1a0e5356e37f234e3408126a0866.gif/optimize.webp?webp=fals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462621/201030_adfox_1310107_3787127.e3ad1a0e5356e37f234e3408126a0866.gif/optimize.webp?webp=false">
                      <a:hlinkClick r:id="rId6" tgtFrame="&quot;_blank&quot;"/>
                    </pic:cNvPr>
                    <pic:cNvPicPr>
                      <a:picLocks noChangeAspect="1" noChangeArrowheads="1"/>
                    </pic:cNvPicPr>
                  </pic:nvPicPr>
                  <pic:blipFill>
                    <a:blip r:embed="rId7" cstate="print"/>
                    <a:srcRect/>
                    <a:stretch>
                      <a:fillRect/>
                    </a:stretch>
                  </pic:blipFill>
                  <pic:spPr bwMode="auto">
                    <a:xfrm>
                      <a:off x="0" y="0"/>
                      <a:ext cx="6932295" cy="861060"/>
                    </a:xfrm>
                    <a:prstGeom prst="rect">
                      <a:avLst/>
                    </a:prstGeom>
                    <a:noFill/>
                    <a:ln w="9525">
                      <a:noFill/>
                      <a:miter lim="800000"/>
                      <a:headEnd/>
                      <a:tailEnd/>
                    </a:ln>
                  </pic:spPr>
                </pic:pic>
              </a:graphicData>
            </a:graphic>
          </wp:inline>
        </w:drawing>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Все элементы системы </w:t>
      </w:r>
      <w:proofErr w:type="spellStart"/>
      <w:r w:rsidRPr="00C45762">
        <w:rPr>
          <w:rFonts w:ascii="Arial" w:eastAsia="Times New Roman" w:hAnsi="Arial" w:cs="Arial"/>
          <w:color w:val="222222"/>
          <w:sz w:val="27"/>
          <w:szCs w:val="27"/>
          <w:lang w:eastAsia="ru-RU"/>
        </w:rPr>
        <w:t>внутришкольного</w:t>
      </w:r>
      <w:proofErr w:type="spellEnd"/>
      <w:r w:rsidRPr="00C45762">
        <w:rPr>
          <w:rFonts w:ascii="Arial" w:eastAsia="Times New Roman" w:hAnsi="Arial" w:cs="Arial"/>
          <w:color w:val="222222"/>
          <w:sz w:val="27"/>
          <w:szCs w:val="27"/>
          <w:lang w:eastAsia="ru-RU"/>
        </w:rPr>
        <w:t xml:space="preserve"> оценивания по учебным предметам обеспечивают </w:t>
      </w:r>
      <w:proofErr w:type="spellStart"/>
      <w:r w:rsidRPr="00C45762">
        <w:rPr>
          <w:rFonts w:ascii="Arial" w:eastAsia="Times New Roman" w:hAnsi="Arial" w:cs="Arial"/>
          <w:color w:val="222222"/>
          <w:sz w:val="27"/>
          <w:szCs w:val="27"/>
          <w:lang w:eastAsia="ru-RU"/>
        </w:rPr>
        <w:t>внутришкольный</w:t>
      </w:r>
      <w:proofErr w:type="spellEnd"/>
      <w:r w:rsidRPr="00C45762">
        <w:rPr>
          <w:rFonts w:ascii="Arial" w:eastAsia="Times New Roman" w:hAnsi="Arial" w:cs="Arial"/>
          <w:color w:val="222222"/>
          <w:sz w:val="27"/>
          <w:szCs w:val="27"/>
          <w:lang w:eastAsia="ru-RU"/>
        </w:rPr>
        <w:t xml:space="preserve"> мониторинг образовательных достижений, включающий оценку уровня достижений личностных, метапредметных и предметных результатов.</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К процедурам внешней оценки относятся: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государственная итоговая аттестация (только для уровней основного общего и среднего общего образования);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lastRenderedPageBreak/>
        <w:t>всероссийские проверочные работы как комплексный проект в области оценки качества образования, направленный на развитие единого образовательного пространства в Российской Федерации;</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proofErr w:type="gramStart"/>
      <w:r w:rsidRPr="00C45762">
        <w:rPr>
          <w:rFonts w:ascii="Arial" w:eastAsia="Times New Roman" w:hAnsi="Arial" w:cs="Arial"/>
          <w:color w:val="222222"/>
          <w:sz w:val="27"/>
          <w:szCs w:val="27"/>
          <w:lang w:eastAsia="ru-RU"/>
        </w:rPr>
        <w:t>мониторинговые исследования федерального, регионального и муниципального уровней.</w:t>
      </w:r>
      <w:proofErr w:type="gramEnd"/>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Ориентация внутреннего и внешнего оценивания на требования ФГОС общего образования, а также учет назначения каждой из процедур способствует преодолению разрыва между ними, </w:t>
      </w:r>
      <w:proofErr w:type="spellStart"/>
      <w:r w:rsidRPr="00C45762">
        <w:rPr>
          <w:rFonts w:ascii="Arial" w:eastAsia="Times New Roman" w:hAnsi="Arial" w:cs="Arial"/>
          <w:color w:val="222222"/>
          <w:sz w:val="27"/>
          <w:szCs w:val="27"/>
          <w:lang w:eastAsia="ru-RU"/>
        </w:rPr>
        <w:t>объединиет</w:t>
      </w:r>
      <w:proofErr w:type="spellEnd"/>
      <w:r w:rsidRPr="00C45762">
        <w:rPr>
          <w:rFonts w:ascii="Arial" w:eastAsia="Times New Roman" w:hAnsi="Arial" w:cs="Arial"/>
          <w:color w:val="222222"/>
          <w:sz w:val="27"/>
          <w:szCs w:val="27"/>
          <w:lang w:eastAsia="ru-RU"/>
        </w:rPr>
        <w:t xml:space="preserve"> их, представив как элементы единой системы оценки образовательных результатов обучающихся.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1.3. </w:t>
      </w:r>
      <w:proofErr w:type="spellStart"/>
      <w:r w:rsidRPr="00C45762">
        <w:rPr>
          <w:rFonts w:ascii="Arial" w:eastAsia="Times New Roman" w:hAnsi="Arial" w:cs="Arial"/>
          <w:color w:val="222222"/>
          <w:sz w:val="27"/>
          <w:szCs w:val="27"/>
          <w:lang w:eastAsia="ru-RU"/>
        </w:rPr>
        <w:t>Критериальное</w:t>
      </w:r>
      <w:proofErr w:type="spellEnd"/>
      <w:r w:rsidRPr="00C45762">
        <w:rPr>
          <w:rFonts w:ascii="Arial" w:eastAsia="Times New Roman" w:hAnsi="Arial" w:cs="Arial"/>
          <w:color w:val="222222"/>
          <w:sz w:val="27"/>
          <w:szCs w:val="27"/>
          <w:lang w:eastAsia="ru-RU"/>
        </w:rPr>
        <w:t xml:space="preserve"> оценивание.</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В условиях индивидуализации процесса обучения на всех уровнях общего образования представляется целесообразным внедрение </w:t>
      </w:r>
      <w:proofErr w:type="spellStart"/>
      <w:r w:rsidRPr="00C45762">
        <w:rPr>
          <w:rFonts w:ascii="Arial" w:eastAsia="Times New Roman" w:hAnsi="Arial" w:cs="Arial"/>
          <w:color w:val="222222"/>
          <w:sz w:val="27"/>
          <w:szCs w:val="27"/>
          <w:lang w:eastAsia="ru-RU"/>
        </w:rPr>
        <w:t>критериального</w:t>
      </w:r>
      <w:proofErr w:type="spellEnd"/>
      <w:r w:rsidRPr="00C45762">
        <w:rPr>
          <w:rFonts w:ascii="Arial" w:eastAsia="Times New Roman" w:hAnsi="Arial" w:cs="Arial"/>
          <w:color w:val="222222"/>
          <w:sz w:val="27"/>
          <w:szCs w:val="27"/>
          <w:lang w:eastAsia="ru-RU"/>
        </w:rPr>
        <w:t xml:space="preserve"> оценивания, которое применяется при реализации форм внутреннего оценивания.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proofErr w:type="spellStart"/>
      <w:r w:rsidRPr="00C45762">
        <w:rPr>
          <w:rFonts w:ascii="Arial" w:eastAsia="Times New Roman" w:hAnsi="Arial" w:cs="Arial"/>
          <w:color w:val="222222"/>
          <w:sz w:val="27"/>
          <w:szCs w:val="27"/>
          <w:lang w:eastAsia="ru-RU"/>
        </w:rPr>
        <w:t>Критериальное</w:t>
      </w:r>
      <w:proofErr w:type="spellEnd"/>
      <w:r w:rsidRPr="00C45762">
        <w:rPr>
          <w:rFonts w:ascii="Arial" w:eastAsia="Times New Roman" w:hAnsi="Arial" w:cs="Arial"/>
          <w:color w:val="222222"/>
          <w:sz w:val="27"/>
          <w:szCs w:val="27"/>
          <w:lang w:eastAsia="ru-RU"/>
        </w:rPr>
        <w:t xml:space="preserve"> оценивание - это процесс сравнения образовательных достижений обучающихся с заранее определенными и известными всем участникам образовательного процесса критериями &lt;1&gt;, соответствующими целям и содержанию образования, отражающими предметные и метапредметные умения обучающихся. Таким образом, в ходе </w:t>
      </w:r>
      <w:proofErr w:type="spellStart"/>
      <w:r w:rsidRPr="00C45762">
        <w:rPr>
          <w:rFonts w:ascii="Arial" w:eastAsia="Times New Roman" w:hAnsi="Arial" w:cs="Arial"/>
          <w:color w:val="222222"/>
          <w:sz w:val="27"/>
          <w:szCs w:val="27"/>
          <w:lang w:eastAsia="ru-RU"/>
        </w:rPr>
        <w:t>критериального</w:t>
      </w:r>
      <w:proofErr w:type="spellEnd"/>
      <w:r w:rsidRPr="00C45762">
        <w:rPr>
          <w:rFonts w:ascii="Arial" w:eastAsia="Times New Roman" w:hAnsi="Arial" w:cs="Arial"/>
          <w:color w:val="222222"/>
          <w:sz w:val="27"/>
          <w:szCs w:val="27"/>
          <w:lang w:eastAsia="ru-RU"/>
        </w:rPr>
        <w:t xml:space="preserve"> оценивания осуществляется анализ процесса достижения планируемых результатов учителем, обучающимися, другими участниками образовательного процесса. Оценивание на основе критериев позволяет сделать данный процесс понятным для всех участников образовательных отношений, повышая его объективность.</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&lt;1&gt; Критерий - 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Учителю критерии дают ясные ориентиры для организации учебного процесса по учебному предмету, оценки усвоения учебного материала </w:t>
      </w:r>
      <w:proofErr w:type="gramStart"/>
      <w:r w:rsidRPr="00C45762">
        <w:rPr>
          <w:rFonts w:ascii="Arial" w:eastAsia="Times New Roman" w:hAnsi="Arial" w:cs="Arial"/>
          <w:color w:val="222222"/>
          <w:sz w:val="27"/>
          <w:szCs w:val="27"/>
          <w:lang w:eastAsia="ru-RU"/>
        </w:rPr>
        <w:t>обучающимися</w:t>
      </w:r>
      <w:proofErr w:type="gramEnd"/>
      <w:r w:rsidRPr="00C45762">
        <w:rPr>
          <w:rFonts w:ascii="Arial" w:eastAsia="Times New Roman" w:hAnsi="Arial" w:cs="Arial"/>
          <w:color w:val="222222"/>
          <w:sz w:val="27"/>
          <w:szCs w:val="27"/>
          <w:lang w:eastAsia="ru-RU"/>
        </w:rPr>
        <w:t>, коррекции методических процедур для достижения высокого качества обучения.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Для обучающихся использование критериев оценивания обеспечивает понимание учебных целей, способов улучшения учебно-познавательной деятельности.</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Родители получают объективные доказательства уровня обученности своего ребенка, возможность отслеживать результаты в обучении ребенка и обеспечивать ему необходимую поддержку. Использование </w:t>
      </w:r>
      <w:proofErr w:type="spellStart"/>
      <w:r w:rsidRPr="00C45762">
        <w:rPr>
          <w:rFonts w:ascii="Arial" w:eastAsia="Times New Roman" w:hAnsi="Arial" w:cs="Arial"/>
          <w:color w:val="222222"/>
          <w:sz w:val="27"/>
          <w:szCs w:val="27"/>
          <w:lang w:eastAsia="ru-RU"/>
        </w:rPr>
        <w:lastRenderedPageBreak/>
        <w:t>критериального</w:t>
      </w:r>
      <w:proofErr w:type="spellEnd"/>
      <w:r w:rsidRPr="00C45762">
        <w:rPr>
          <w:rFonts w:ascii="Arial" w:eastAsia="Times New Roman" w:hAnsi="Arial" w:cs="Arial"/>
          <w:color w:val="222222"/>
          <w:sz w:val="27"/>
          <w:szCs w:val="27"/>
          <w:lang w:eastAsia="ru-RU"/>
        </w:rPr>
        <w:t xml:space="preserve"> подхода к описанию достижения планируемых результатов для оценки предметных и метапредметных результатов при выполнении типовых контрольных оценочных заданий позволит повысить объективность традиционной пятибалльной системы оценки и обеспечить индивидуальное развитие обучающихся.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2. Особенности </w:t>
      </w:r>
      <w:proofErr w:type="gramStart"/>
      <w:r w:rsidRPr="00C45762">
        <w:rPr>
          <w:rFonts w:ascii="Arial" w:eastAsia="Times New Roman" w:hAnsi="Arial" w:cs="Arial"/>
          <w:color w:val="222222"/>
          <w:sz w:val="27"/>
          <w:szCs w:val="27"/>
          <w:lang w:eastAsia="ru-RU"/>
        </w:rPr>
        <w:t>системы оценки достижения планируемых результатов освоения образовательной программы</w:t>
      </w:r>
      <w:proofErr w:type="gramEnd"/>
      <w:r w:rsidRPr="00C45762">
        <w:rPr>
          <w:rFonts w:ascii="Arial" w:eastAsia="Times New Roman" w:hAnsi="Arial" w:cs="Arial"/>
          <w:color w:val="222222"/>
          <w:sz w:val="27"/>
          <w:szCs w:val="27"/>
          <w:lang w:eastAsia="ru-RU"/>
        </w:rPr>
        <w:t>.</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2.1. Особенности оценки личностных результатов.</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Целью оценки личностных достижений обучающихся является не определение персонифицированного уровня развития качеств личности обучающегося, а получение общего представления о воспитательной деятельности образовательной организац</w:t>
      </w:r>
      <w:proofErr w:type="gramStart"/>
      <w:r w:rsidRPr="00C45762">
        <w:rPr>
          <w:rFonts w:ascii="Arial" w:eastAsia="Times New Roman" w:hAnsi="Arial" w:cs="Arial"/>
          <w:color w:val="222222"/>
          <w:sz w:val="27"/>
          <w:szCs w:val="27"/>
          <w:lang w:eastAsia="ru-RU"/>
        </w:rPr>
        <w:t>ии и ее</w:t>
      </w:r>
      <w:proofErr w:type="gramEnd"/>
      <w:r w:rsidRPr="00C45762">
        <w:rPr>
          <w:rFonts w:ascii="Arial" w:eastAsia="Times New Roman" w:hAnsi="Arial" w:cs="Arial"/>
          <w:color w:val="222222"/>
          <w:sz w:val="27"/>
          <w:szCs w:val="27"/>
          <w:lang w:eastAsia="ru-RU"/>
        </w:rPr>
        <w:t xml:space="preserve"> влиянии на коллектив обучающихся: что удалось достичь, изменить, скорректировать, а что является предметом специальной работы в будущем.</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Такое понимание косвенно подтверждается положением ФГОС общего образования о том, что система оценки должна "обеспечить комплексный подход к оценке результатов освоения программы общего образования, позволяющий осуществить оценку предметных и метапредметных результатов". Таким образом, ФГОС общего образования не определяет необходимость обязательного контроля и оценки личностных достижений обучающегося. Достижение личностных результатов не выносится на итоговую оценку обучающихся.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Вместе с тем нецелесообразно полностью отрицать необходимость контролировать и оценивать развитие личности обучающегося в процессе обучения. Наблюдение за тем, как изменяется </w:t>
      </w:r>
      <w:proofErr w:type="gramStart"/>
      <w:r w:rsidRPr="00C45762">
        <w:rPr>
          <w:rFonts w:ascii="Arial" w:eastAsia="Times New Roman" w:hAnsi="Arial" w:cs="Arial"/>
          <w:color w:val="222222"/>
          <w:sz w:val="27"/>
          <w:szCs w:val="27"/>
          <w:lang w:eastAsia="ru-RU"/>
        </w:rPr>
        <w:t>обучающийся</w:t>
      </w:r>
      <w:proofErr w:type="gramEnd"/>
      <w:r w:rsidRPr="00C45762">
        <w:rPr>
          <w:rFonts w:ascii="Arial" w:eastAsia="Times New Roman" w:hAnsi="Arial" w:cs="Arial"/>
          <w:color w:val="222222"/>
          <w:sz w:val="27"/>
          <w:szCs w:val="27"/>
          <w:lang w:eastAsia="ru-RU"/>
        </w:rPr>
        <w:t xml:space="preserve"> под влиянием учебных занятий, внеклассных мероприятий, взаимодействия с одноклассниками, выполнения поручений и участия в разных видах деятельности, очень важно как для планирования воспитательной работы с обучающимися, так и для работы с семьей, которая в процессе воспитания играет особую роль.</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Рекомендуется оценивать личностные результаты образовательной деятельности в соответствии с ФГОС общего образования в ходе внешних и внутренних </w:t>
      </w:r>
      <w:proofErr w:type="spellStart"/>
      <w:r w:rsidRPr="00C45762">
        <w:rPr>
          <w:rFonts w:ascii="Arial" w:eastAsia="Times New Roman" w:hAnsi="Arial" w:cs="Arial"/>
          <w:color w:val="222222"/>
          <w:sz w:val="27"/>
          <w:szCs w:val="27"/>
          <w:lang w:eastAsia="ru-RU"/>
        </w:rPr>
        <w:t>неперсонифицированных</w:t>
      </w:r>
      <w:proofErr w:type="spellEnd"/>
      <w:r w:rsidRPr="00C45762">
        <w:rPr>
          <w:rFonts w:ascii="Arial" w:eastAsia="Times New Roman" w:hAnsi="Arial" w:cs="Arial"/>
          <w:color w:val="222222"/>
          <w:sz w:val="27"/>
          <w:szCs w:val="27"/>
          <w:lang w:eastAsia="ru-RU"/>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 Результаты, полученные в ходе этих оценочных процедур, допускается использовать только в виде агрегированных (усредненных, анонимных) данных.</w:t>
      </w:r>
    </w:p>
    <w:p w:rsidR="00C45762" w:rsidRPr="00C45762" w:rsidRDefault="00C45762" w:rsidP="00C45762">
      <w:pPr>
        <w:shd w:val="clear" w:color="auto" w:fill="FFFFFF"/>
        <w:spacing w:after="199" w:line="240" w:lineRule="auto"/>
        <w:jc w:val="center"/>
        <w:textAlignment w:val="baseline"/>
        <w:rPr>
          <w:rFonts w:ascii="Arial" w:eastAsia="Times New Roman" w:hAnsi="Arial" w:cs="Arial"/>
          <w:color w:val="222222"/>
          <w:sz w:val="27"/>
          <w:szCs w:val="27"/>
          <w:lang w:eastAsia="ru-RU"/>
        </w:rPr>
      </w:pPr>
      <w:r>
        <w:rPr>
          <w:rFonts w:ascii="Arial" w:eastAsia="Times New Roman" w:hAnsi="Arial" w:cs="Arial"/>
          <w:noProof/>
          <w:color w:val="1B6DFD"/>
          <w:sz w:val="27"/>
          <w:szCs w:val="27"/>
          <w:bdr w:val="none" w:sz="0" w:space="0" w:color="auto" w:frame="1"/>
          <w:lang w:eastAsia="ru-RU"/>
        </w:rPr>
        <w:lastRenderedPageBreak/>
        <w:drawing>
          <wp:inline distT="0" distB="0" distL="0" distR="0">
            <wp:extent cx="13864590" cy="1711960"/>
            <wp:effectExtent l="19050" t="0" r="3810" b="0"/>
            <wp:docPr id="2" name="Рисунок 2" descr="https://avatars.mds.yandex.net/get-adfox-content/2914398/201030_adfox_1310107_3788701.b32b01c8e1e7ba09a63601198640c54e.gif/optimize.webp?webp=fals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adfox-content/2914398/201030_adfox_1310107_3788701.b32b01c8e1e7ba09a63601198640c54e.gif/optimize.webp?webp=false">
                      <a:hlinkClick r:id="rId8" tgtFrame="&quot;_blank&quot;"/>
                    </pic:cNvPr>
                    <pic:cNvPicPr>
                      <a:picLocks noChangeAspect="1" noChangeArrowheads="1"/>
                    </pic:cNvPicPr>
                  </pic:nvPicPr>
                  <pic:blipFill>
                    <a:blip r:embed="rId9" cstate="print"/>
                    <a:srcRect/>
                    <a:stretch>
                      <a:fillRect/>
                    </a:stretch>
                  </pic:blipFill>
                  <pic:spPr bwMode="auto">
                    <a:xfrm>
                      <a:off x="0" y="0"/>
                      <a:ext cx="13864590" cy="1711960"/>
                    </a:xfrm>
                    <a:prstGeom prst="rect">
                      <a:avLst/>
                    </a:prstGeom>
                    <a:noFill/>
                    <a:ln w="9525">
                      <a:noFill/>
                      <a:miter lim="800000"/>
                      <a:headEnd/>
                      <a:tailEnd/>
                    </a:ln>
                  </pic:spPr>
                </pic:pic>
              </a:graphicData>
            </a:graphic>
          </wp:inline>
        </w:drawing>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proofErr w:type="gramStart"/>
      <w:r w:rsidRPr="00C45762">
        <w:rPr>
          <w:rFonts w:ascii="Arial" w:eastAsia="Times New Roman" w:hAnsi="Arial" w:cs="Arial"/>
          <w:color w:val="222222"/>
          <w:sz w:val="27"/>
          <w:szCs w:val="27"/>
          <w:lang w:eastAsia="ru-RU"/>
        </w:rPr>
        <w:t>Результаты ежедневных наблюдений за обучающимися, осуществляемые классным руководителем в ходе учебных занятий и внеурочной деятельности, могут накапливаться в портфеле достижений обучающихся и обобщаться в конце учебного года для оценки динамики формирования личностных результатов.</w:t>
      </w:r>
      <w:proofErr w:type="gramEnd"/>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2.2. Особенности оценки метапредметных результатов.</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Формирование метапредметных результатов осуществляется на всех учебных предметах. Поэтому процедуры оценки, как правило, тесно связаны с процедурами и содержанием оценки предметных результатов.</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При этом важно понимать и разделять оценку сформированности:</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отдельных метапредметных результатов в ходе итоговой оценки достижения метапредметных результатов (защиты </w:t>
      </w:r>
      <w:proofErr w:type="gramStart"/>
      <w:r w:rsidRPr="00C45762">
        <w:rPr>
          <w:rFonts w:ascii="Arial" w:eastAsia="Times New Roman" w:hAnsi="Arial" w:cs="Arial"/>
          <w:color w:val="222222"/>
          <w:sz w:val="27"/>
          <w:szCs w:val="27"/>
          <w:lang w:eastAsia="ru-RU"/>
        </w:rPr>
        <w:t>индивидуального проекта</w:t>
      </w:r>
      <w:proofErr w:type="gramEnd"/>
      <w:r w:rsidRPr="00C45762">
        <w:rPr>
          <w:rFonts w:ascii="Arial" w:eastAsia="Times New Roman" w:hAnsi="Arial" w:cs="Arial"/>
          <w:color w:val="222222"/>
          <w:sz w:val="27"/>
          <w:szCs w:val="27"/>
          <w:lang w:eastAsia="ru-RU"/>
        </w:rPr>
        <w:t xml:space="preserve"> по отдельным учебным предметам или на </w:t>
      </w:r>
      <w:proofErr w:type="spellStart"/>
      <w:r w:rsidRPr="00C45762">
        <w:rPr>
          <w:rFonts w:ascii="Arial" w:eastAsia="Times New Roman" w:hAnsi="Arial" w:cs="Arial"/>
          <w:color w:val="222222"/>
          <w:sz w:val="27"/>
          <w:szCs w:val="27"/>
          <w:lang w:eastAsia="ru-RU"/>
        </w:rPr>
        <w:t>межпредметной</w:t>
      </w:r>
      <w:proofErr w:type="spellEnd"/>
      <w:r w:rsidRPr="00C45762">
        <w:rPr>
          <w:rFonts w:ascii="Arial" w:eastAsia="Times New Roman" w:hAnsi="Arial" w:cs="Arial"/>
          <w:color w:val="222222"/>
          <w:sz w:val="27"/>
          <w:szCs w:val="27"/>
          <w:lang w:eastAsia="ru-RU"/>
        </w:rPr>
        <w:t xml:space="preserve"> основе);</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собственно метапредметных действий, построенную на содержании различных предметов и </w:t>
      </w:r>
      <w:proofErr w:type="spellStart"/>
      <w:r w:rsidRPr="00C45762">
        <w:rPr>
          <w:rFonts w:ascii="Arial" w:eastAsia="Times New Roman" w:hAnsi="Arial" w:cs="Arial"/>
          <w:color w:val="222222"/>
          <w:sz w:val="27"/>
          <w:szCs w:val="27"/>
          <w:lang w:eastAsia="ru-RU"/>
        </w:rPr>
        <w:t>внеучебных</w:t>
      </w:r>
      <w:proofErr w:type="spellEnd"/>
      <w:r w:rsidRPr="00C45762">
        <w:rPr>
          <w:rFonts w:ascii="Arial" w:eastAsia="Times New Roman" w:hAnsi="Arial" w:cs="Arial"/>
          <w:color w:val="222222"/>
          <w:sz w:val="27"/>
          <w:szCs w:val="27"/>
          <w:lang w:eastAsia="ru-RU"/>
        </w:rPr>
        <w:t xml:space="preserve"> ситуаций, при этом оценивается способность применения (переноса) метапредметных действий, сформированных на отдельных предметах, при решении различных задач.</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Основной процедурой итоговой оценки достижения метапредметных результатов является защита итогового </w:t>
      </w:r>
      <w:proofErr w:type="gramStart"/>
      <w:r w:rsidRPr="00C45762">
        <w:rPr>
          <w:rFonts w:ascii="Arial" w:eastAsia="Times New Roman" w:hAnsi="Arial" w:cs="Arial"/>
          <w:color w:val="222222"/>
          <w:sz w:val="27"/>
          <w:szCs w:val="27"/>
          <w:lang w:eastAsia="ru-RU"/>
        </w:rPr>
        <w:t>индивидуального проекта</w:t>
      </w:r>
      <w:proofErr w:type="gramEnd"/>
      <w:r w:rsidRPr="00C45762">
        <w:rPr>
          <w:rFonts w:ascii="Arial" w:eastAsia="Times New Roman" w:hAnsi="Arial" w:cs="Arial"/>
          <w:color w:val="222222"/>
          <w:sz w:val="27"/>
          <w:szCs w:val="27"/>
          <w:lang w:eastAsia="ru-RU"/>
        </w:rPr>
        <w:t>.</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Общий подход к формированию и оценке метапредметных результатов в текущем учебном процессе состоит в том, что метапредметные действия, как правило, формируются и оцениваются как неотъемлемый элемент выполняемого учебного задания по предмету. Поэтому крайне важен отбор моделей учебных заданий, которые учитель предъявляет учащимся для формирования метапредметных результатов и их оценки. Необходимо наполнить учебный процесс такими моделями заданий и учебных ситуаций, в которых естественными элементами являются познавательные действия (логические, исследовательские, работа с информацией), коммуникативные действия, проявляющиеся как в ходе выполнения учебных заданий, так и в ходе взаимодействия и совместной деятельности, регулятивные действия.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lastRenderedPageBreak/>
        <w:t>Ориентиром при отборе и конструировании заданий с элементами универсальных учебных действий служат сформулированные во ФГОС общего образования требования к составу метапредметных и предметных результатов освоения образовательной программы соответствующего уровня образования, необходимость включения и использования каждой группы универсальных учебных действий.</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2.3. Особенности оценки предметных результатов.</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Оценка предметных результатов - наиболее разработанное направление, поскольку традиционно ведется каждым педагогическим работником в ходе процедур текущей, промежуточной и итоговой оценки, а также администрацией образовательной организации в ходе </w:t>
      </w:r>
      <w:proofErr w:type="spellStart"/>
      <w:r w:rsidRPr="00C45762">
        <w:rPr>
          <w:rFonts w:ascii="Arial" w:eastAsia="Times New Roman" w:hAnsi="Arial" w:cs="Arial"/>
          <w:color w:val="222222"/>
          <w:sz w:val="27"/>
          <w:szCs w:val="27"/>
          <w:lang w:eastAsia="ru-RU"/>
        </w:rPr>
        <w:t>внутришкольного</w:t>
      </w:r>
      <w:proofErr w:type="spellEnd"/>
      <w:r w:rsidRPr="00C45762">
        <w:rPr>
          <w:rFonts w:ascii="Arial" w:eastAsia="Times New Roman" w:hAnsi="Arial" w:cs="Arial"/>
          <w:color w:val="222222"/>
          <w:sz w:val="27"/>
          <w:szCs w:val="27"/>
          <w:lang w:eastAsia="ru-RU"/>
        </w:rPr>
        <w:t xml:space="preserve"> мониторинга.</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В связи с обновлением ФГОС общего образования при определении содержания оценки предметных результатов необходимо обратить внимание на новые компоненты содержания по каждому учебному предмету и на обязательные планируемые результаты на конец каждого учебного года, отраженные во ФГОС общего образования и федеральных основных общеобразовательных программах.</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Система заданий при проведении контрольно-оценочных процедур должна значительно активизировать организацию индивидуальной работы с </w:t>
      </w:r>
      <w:proofErr w:type="gramStart"/>
      <w:r w:rsidRPr="00C45762">
        <w:rPr>
          <w:rFonts w:ascii="Arial" w:eastAsia="Times New Roman" w:hAnsi="Arial" w:cs="Arial"/>
          <w:color w:val="222222"/>
          <w:sz w:val="27"/>
          <w:szCs w:val="27"/>
          <w:lang w:eastAsia="ru-RU"/>
        </w:rPr>
        <w:t>обучающимися</w:t>
      </w:r>
      <w:proofErr w:type="gramEnd"/>
      <w:r w:rsidRPr="00C45762">
        <w:rPr>
          <w:rFonts w:ascii="Arial" w:eastAsia="Times New Roman" w:hAnsi="Arial" w:cs="Arial"/>
          <w:color w:val="222222"/>
          <w:sz w:val="27"/>
          <w:szCs w:val="27"/>
          <w:lang w:eastAsia="ru-RU"/>
        </w:rPr>
        <w:t>, повышать мотивацию обучающихся к достижению более высоких достижений в учебном процессе, актуализировать разработку и использование учебных и диагностических заданий и работ разной сложности.</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proofErr w:type="gramStart"/>
      <w:r w:rsidRPr="00C45762">
        <w:rPr>
          <w:rFonts w:ascii="Arial" w:eastAsia="Times New Roman" w:hAnsi="Arial" w:cs="Arial"/>
          <w:color w:val="222222"/>
          <w:sz w:val="27"/>
          <w:szCs w:val="27"/>
          <w:lang w:eastAsia="ru-RU"/>
        </w:rPr>
        <w:t>Задания строятся с учетом следующих положений: использование изучаемого материала при решении учебных задач, различающихся сложностью предметного содержания, сочетание универсальных познавательных действий и операций,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roofErr w:type="gramEnd"/>
      <w:r w:rsidRPr="00C45762">
        <w:rPr>
          <w:rFonts w:ascii="Arial" w:eastAsia="Times New Roman" w:hAnsi="Arial" w:cs="Arial"/>
          <w:color w:val="222222"/>
          <w:sz w:val="27"/>
          <w:szCs w:val="27"/>
          <w:lang w:eastAsia="ru-RU"/>
        </w:rPr>
        <w:t xml:space="preserve"> осознанное использование приобретенных знаний и способов действий при решении </w:t>
      </w:r>
      <w:proofErr w:type="spellStart"/>
      <w:r w:rsidRPr="00C45762">
        <w:rPr>
          <w:rFonts w:ascii="Arial" w:eastAsia="Times New Roman" w:hAnsi="Arial" w:cs="Arial"/>
          <w:color w:val="222222"/>
          <w:sz w:val="27"/>
          <w:szCs w:val="27"/>
          <w:lang w:eastAsia="ru-RU"/>
        </w:rPr>
        <w:t>внеучебных</w:t>
      </w:r>
      <w:proofErr w:type="spellEnd"/>
      <w:r w:rsidRPr="00C45762">
        <w:rPr>
          <w:rFonts w:ascii="Arial" w:eastAsia="Times New Roman" w:hAnsi="Arial" w:cs="Arial"/>
          <w:color w:val="222222"/>
          <w:sz w:val="27"/>
          <w:szCs w:val="27"/>
          <w:lang w:eastAsia="ru-RU"/>
        </w:rPr>
        <w:t xml:space="preserve"> проблем, различающихся сложностью предметного содержания, читательских умений, контекста, а также сочетание когнитивных операций.</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Для повышения осознанности обучающихся рекомендуется в процессе освоения знаний включать задания на формирование самооценки и </w:t>
      </w:r>
      <w:proofErr w:type="gramStart"/>
      <w:r w:rsidRPr="00C45762">
        <w:rPr>
          <w:rFonts w:ascii="Arial" w:eastAsia="Times New Roman" w:hAnsi="Arial" w:cs="Arial"/>
          <w:color w:val="222222"/>
          <w:sz w:val="27"/>
          <w:szCs w:val="27"/>
          <w:lang w:eastAsia="ru-RU"/>
        </w:rPr>
        <w:t>рефлексии</w:t>
      </w:r>
      <w:proofErr w:type="gramEnd"/>
      <w:r w:rsidRPr="00C45762">
        <w:rPr>
          <w:rFonts w:ascii="Arial" w:eastAsia="Times New Roman" w:hAnsi="Arial" w:cs="Arial"/>
          <w:color w:val="222222"/>
          <w:sz w:val="27"/>
          <w:szCs w:val="27"/>
          <w:lang w:eastAsia="ru-RU"/>
        </w:rPr>
        <w:t xml:space="preserve"> обучающихся в ходе анализа результатов обучения. Это могут быть листы самооценки и другое.</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2.4. Особенности оценки функциональной грамотности.</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lastRenderedPageBreak/>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C45762">
        <w:rPr>
          <w:rFonts w:ascii="Arial" w:eastAsia="Times New Roman" w:hAnsi="Arial" w:cs="Arial"/>
          <w:color w:val="222222"/>
          <w:sz w:val="27"/>
          <w:szCs w:val="27"/>
          <w:lang w:eastAsia="ru-RU"/>
        </w:rPr>
        <w:t>внеучебных</w:t>
      </w:r>
      <w:proofErr w:type="spellEnd"/>
      <w:r w:rsidRPr="00C45762">
        <w:rPr>
          <w:rFonts w:ascii="Arial" w:eastAsia="Times New Roman" w:hAnsi="Arial" w:cs="Arial"/>
          <w:color w:val="222222"/>
          <w:sz w:val="27"/>
          <w:szCs w:val="27"/>
          <w:lang w:eastAsia="ru-RU"/>
        </w:rPr>
        <w:t xml:space="preserve"> задач, приближенных к реалиям современной жизни. Формирование и оценка функциональной грамотности (читательской, математической, </w:t>
      </w:r>
      <w:proofErr w:type="spellStart"/>
      <w:proofErr w:type="gramStart"/>
      <w:r w:rsidRPr="00C45762">
        <w:rPr>
          <w:rFonts w:ascii="Arial" w:eastAsia="Times New Roman" w:hAnsi="Arial" w:cs="Arial"/>
          <w:color w:val="222222"/>
          <w:sz w:val="27"/>
          <w:szCs w:val="27"/>
          <w:lang w:eastAsia="ru-RU"/>
        </w:rPr>
        <w:t>естественно-научной</w:t>
      </w:r>
      <w:proofErr w:type="spellEnd"/>
      <w:proofErr w:type="gramEnd"/>
      <w:r w:rsidRPr="00C45762">
        <w:rPr>
          <w:rFonts w:ascii="Arial" w:eastAsia="Times New Roman" w:hAnsi="Arial" w:cs="Arial"/>
          <w:color w:val="222222"/>
          <w:sz w:val="27"/>
          <w:szCs w:val="27"/>
          <w:lang w:eastAsia="ru-RU"/>
        </w:rPr>
        <w:t>,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Оценка уровня сформированности функциональной грамотности является проявлением </w:t>
      </w:r>
      <w:proofErr w:type="spellStart"/>
      <w:r w:rsidRPr="00C45762">
        <w:rPr>
          <w:rFonts w:ascii="Arial" w:eastAsia="Times New Roman" w:hAnsi="Arial" w:cs="Arial"/>
          <w:color w:val="222222"/>
          <w:sz w:val="27"/>
          <w:szCs w:val="27"/>
          <w:lang w:eastAsia="ru-RU"/>
        </w:rPr>
        <w:t>системно-деятельностного</w:t>
      </w:r>
      <w:proofErr w:type="spellEnd"/>
      <w:r w:rsidRPr="00C45762">
        <w:rPr>
          <w:rFonts w:ascii="Arial" w:eastAsia="Times New Roman" w:hAnsi="Arial" w:cs="Arial"/>
          <w:color w:val="222222"/>
          <w:sz w:val="27"/>
          <w:szCs w:val="27"/>
          <w:lang w:eastAsia="ru-RU"/>
        </w:rPr>
        <w:t xml:space="preserve">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C45762">
        <w:rPr>
          <w:rFonts w:ascii="Arial" w:eastAsia="Times New Roman" w:hAnsi="Arial" w:cs="Arial"/>
          <w:color w:val="222222"/>
          <w:sz w:val="27"/>
          <w:szCs w:val="27"/>
          <w:lang w:eastAsia="ru-RU"/>
        </w:rPr>
        <w:t>обучающемуся</w:t>
      </w:r>
      <w:proofErr w:type="gramEnd"/>
      <w:r w:rsidRPr="00C45762">
        <w:rPr>
          <w:rFonts w:ascii="Arial" w:eastAsia="Times New Roman" w:hAnsi="Arial" w:cs="Arial"/>
          <w:color w:val="222222"/>
          <w:sz w:val="27"/>
          <w:szCs w:val="27"/>
          <w:lang w:eastAsia="ru-RU"/>
        </w:rPr>
        <w:t>. Используются разные форматы представления информации: рисунки, таблицы, диаграммы, комиксы и др. 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На отдельных предметах формируются специфические для данного предмета знания, а также компетенции, например, на уроках </w:t>
      </w:r>
      <w:proofErr w:type="spellStart"/>
      <w:proofErr w:type="gramStart"/>
      <w:r w:rsidRPr="00C45762">
        <w:rPr>
          <w:rFonts w:ascii="Arial" w:eastAsia="Times New Roman" w:hAnsi="Arial" w:cs="Arial"/>
          <w:color w:val="222222"/>
          <w:sz w:val="27"/>
          <w:szCs w:val="27"/>
          <w:lang w:eastAsia="ru-RU"/>
        </w:rPr>
        <w:t>естественно-научного</w:t>
      </w:r>
      <w:proofErr w:type="spellEnd"/>
      <w:proofErr w:type="gramEnd"/>
      <w:r w:rsidRPr="00C45762">
        <w:rPr>
          <w:rFonts w:ascii="Arial" w:eastAsia="Times New Roman" w:hAnsi="Arial" w:cs="Arial"/>
          <w:color w:val="222222"/>
          <w:sz w:val="27"/>
          <w:szCs w:val="27"/>
          <w:lang w:eastAsia="ru-RU"/>
        </w:rPr>
        <w:t xml:space="preserve"> цикла формируются умения объяснять наблюдаемые явления, проводить исследования и интерпретировать полученные результаты. На всех предметах обучающиеся работают с информацией, представленной в различном виде, и решают специфические для данной предметной области задачи.</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По результатам выполнения отдельных заданий нельзя делать вывод о сформированности функциональной грамотности. 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В построении данной шкалы свой вклад вносят задания на оценку сформированности знаний и понимания их применения в различных учебных и </w:t>
      </w:r>
      <w:proofErr w:type="spellStart"/>
      <w:r w:rsidRPr="00C45762">
        <w:rPr>
          <w:rFonts w:ascii="Arial" w:eastAsia="Times New Roman" w:hAnsi="Arial" w:cs="Arial"/>
          <w:color w:val="222222"/>
          <w:sz w:val="27"/>
          <w:szCs w:val="27"/>
          <w:lang w:eastAsia="ru-RU"/>
        </w:rPr>
        <w:t>внеучебных</w:t>
      </w:r>
      <w:proofErr w:type="spellEnd"/>
      <w:r w:rsidRPr="00C45762">
        <w:rPr>
          <w:rFonts w:ascii="Arial" w:eastAsia="Times New Roman" w:hAnsi="Arial" w:cs="Arial"/>
          <w:color w:val="222222"/>
          <w:sz w:val="27"/>
          <w:szCs w:val="27"/>
          <w:lang w:eastAsia="ru-RU"/>
        </w:rPr>
        <w:t xml:space="preserve"> ситуациях. Успешное выполнение заданий на применение освоенного учебного материала во </w:t>
      </w:r>
      <w:proofErr w:type="spellStart"/>
      <w:r w:rsidRPr="00C45762">
        <w:rPr>
          <w:rFonts w:ascii="Arial" w:eastAsia="Times New Roman" w:hAnsi="Arial" w:cs="Arial"/>
          <w:color w:val="222222"/>
          <w:sz w:val="27"/>
          <w:szCs w:val="27"/>
          <w:lang w:eastAsia="ru-RU"/>
        </w:rPr>
        <w:t>внеучебном</w:t>
      </w:r>
      <w:proofErr w:type="spellEnd"/>
      <w:r w:rsidRPr="00C45762">
        <w:rPr>
          <w:rFonts w:ascii="Arial" w:eastAsia="Times New Roman" w:hAnsi="Arial" w:cs="Arial"/>
          <w:color w:val="222222"/>
          <w:sz w:val="27"/>
          <w:szCs w:val="27"/>
          <w:lang w:eastAsia="ru-RU"/>
        </w:rPr>
        <w:t xml:space="preserve"> контексте позволяет определить высший уровень достижений по данному предмету.</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lastRenderedPageBreak/>
        <w:t xml:space="preserve">Администрация образовательной организации принимает решение о включении в план </w:t>
      </w:r>
      <w:proofErr w:type="spellStart"/>
      <w:r w:rsidRPr="00C45762">
        <w:rPr>
          <w:rFonts w:ascii="Arial" w:eastAsia="Times New Roman" w:hAnsi="Arial" w:cs="Arial"/>
          <w:color w:val="222222"/>
          <w:sz w:val="27"/>
          <w:szCs w:val="27"/>
          <w:lang w:eastAsia="ru-RU"/>
        </w:rPr>
        <w:t>внутришкольного</w:t>
      </w:r>
      <w:proofErr w:type="spellEnd"/>
      <w:r w:rsidRPr="00C45762">
        <w:rPr>
          <w:rFonts w:ascii="Arial" w:eastAsia="Times New Roman" w:hAnsi="Arial" w:cs="Arial"/>
          <w:color w:val="222222"/>
          <w:sz w:val="27"/>
          <w:szCs w:val="27"/>
          <w:lang w:eastAsia="ru-RU"/>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Заключение</w:t>
      </w:r>
    </w:p>
    <w:p w:rsidR="00C45762" w:rsidRPr="00C45762" w:rsidRDefault="00C45762" w:rsidP="00C45762">
      <w:pPr>
        <w:shd w:val="clear" w:color="auto" w:fill="FFFFFF"/>
        <w:spacing w:after="199" w:line="240" w:lineRule="auto"/>
        <w:textAlignment w:val="baseline"/>
        <w:rPr>
          <w:rFonts w:ascii="Arial" w:eastAsia="Times New Roman" w:hAnsi="Arial" w:cs="Arial"/>
          <w:color w:val="222222"/>
          <w:sz w:val="27"/>
          <w:szCs w:val="27"/>
          <w:lang w:eastAsia="ru-RU"/>
        </w:rPr>
      </w:pPr>
      <w:r w:rsidRPr="00C45762">
        <w:rPr>
          <w:rFonts w:ascii="Arial" w:eastAsia="Times New Roman" w:hAnsi="Arial" w:cs="Arial"/>
          <w:color w:val="222222"/>
          <w:sz w:val="27"/>
          <w:szCs w:val="27"/>
          <w:lang w:eastAsia="ru-RU"/>
        </w:rPr>
        <w:t xml:space="preserve">В завершение следует отметить, что оценка </w:t>
      </w:r>
      <w:proofErr w:type="gramStart"/>
      <w:r w:rsidRPr="00C45762">
        <w:rPr>
          <w:rFonts w:ascii="Arial" w:eastAsia="Times New Roman" w:hAnsi="Arial" w:cs="Arial"/>
          <w:color w:val="222222"/>
          <w:sz w:val="27"/>
          <w:szCs w:val="27"/>
          <w:lang w:eastAsia="ru-RU"/>
        </w:rPr>
        <w:t>результатов освоения образовательной программы соответствующего уровня образования</w:t>
      </w:r>
      <w:proofErr w:type="gramEnd"/>
      <w:r w:rsidRPr="00C45762">
        <w:rPr>
          <w:rFonts w:ascii="Arial" w:eastAsia="Times New Roman" w:hAnsi="Arial" w:cs="Arial"/>
          <w:color w:val="222222"/>
          <w:sz w:val="27"/>
          <w:szCs w:val="27"/>
          <w:lang w:eastAsia="ru-RU"/>
        </w:rPr>
        <w:t xml:space="preserve"> должна стать механизмом, обеспечивающим непрерывность процесса совершенствования качества образования, обеспечить конструктивную обратную связь для всех субъектов образовательного процесса. Указанная оценка должна не просто подводить итоги достигнутого, она должна стать отправной точкой, за которой следует новый виток развития, выход на новый уровень качества российского образования.</w:t>
      </w:r>
    </w:p>
    <w:p w:rsidR="00D6782C" w:rsidRDefault="00D6782C"/>
    <w:sectPr w:rsidR="00D6782C" w:rsidSect="00D67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45762"/>
    <w:rsid w:val="00C45762"/>
    <w:rsid w:val="00D67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C45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45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5762"/>
    <w:rPr>
      <w:color w:val="0000FF"/>
      <w:u w:val="single"/>
    </w:rPr>
  </w:style>
  <w:style w:type="paragraph" w:customStyle="1" w:styleId="pr">
    <w:name w:val="pr"/>
    <w:basedOn w:val="a"/>
    <w:rsid w:val="00C45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457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7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503995">
      <w:bodyDiv w:val="1"/>
      <w:marLeft w:val="0"/>
      <w:marRight w:val="0"/>
      <w:marTop w:val="0"/>
      <w:marBottom w:val="0"/>
      <w:divBdr>
        <w:top w:val="none" w:sz="0" w:space="0" w:color="auto"/>
        <w:left w:val="none" w:sz="0" w:space="0" w:color="auto"/>
        <w:bottom w:val="none" w:sz="0" w:space="0" w:color="auto"/>
        <w:right w:val="none" w:sz="0" w:space="0" w:color="auto"/>
      </w:divBdr>
      <w:divsChild>
        <w:div w:id="1521162876">
          <w:marLeft w:val="0"/>
          <w:marRight w:val="0"/>
          <w:marTop w:val="0"/>
          <w:marBottom w:val="199"/>
          <w:divBdr>
            <w:top w:val="none" w:sz="0" w:space="0" w:color="auto"/>
            <w:left w:val="none" w:sz="0" w:space="0" w:color="auto"/>
            <w:bottom w:val="none" w:sz="0" w:space="0" w:color="auto"/>
            <w:right w:val="none" w:sz="0" w:space="0" w:color="auto"/>
          </w:divBdr>
          <w:divsChild>
            <w:div w:id="1726835004">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223295583">
          <w:marLeft w:val="0"/>
          <w:marRight w:val="0"/>
          <w:marTop w:val="0"/>
          <w:marBottom w:val="199"/>
          <w:divBdr>
            <w:top w:val="none" w:sz="0" w:space="0" w:color="auto"/>
            <w:left w:val="none" w:sz="0" w:space="0" w:color="auto"/>
            <w:bottom w:val="none" w:sz="0" w:space="0" w:color="auto"/>
            <w:right w:val="none" w:sz="0" w:space="0" w:color="auto"/>
          </w:divBdr>
          <w:divsChild>
            <w:div w:id="2057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adfox.ru/309777/clickURL?ad-session-id=4335801698340809243&amp;duid=1693750414955390160&amp;hash=54e5f2f8e58c8169&amp;sj=8NVrIyvAxscTjNZcHazBXLi2zDjOglBxLOsUOJ5CSgXWeCmOsxj88Y4h8dnvoA%3D%3D&amp;rand=edtyid&amp;rqs=xHlnLl5UZSnInzplz8ZByHbi5d_ES4Td&amp;pr=jsnousa&amp;p1=cltbv&amp;ytt=346895918825477&amp;p5=ihoph&amp;ybv=0.896631&amp;p2=gxbi&amp;ylv=0.896631&amp;pf=https%3A%2F%2Flogin.consultant.ru%2Fdemo-access%2F%3Futm_campaign%3Ddemo-access%26utm_source%3Drulawsru%26utm_medium%3Dbanner%26utm_content%3Dregistration%26utm_term%3Dinsidetext"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s.adfox.ru/309777/clickURL?ad-session-id=4335801698340809243&amp;duid=1693750414955390160&amp;hash=59877bf2ef1a2f10&amp;sj=08ZiIu8b9St2P-xJgWwhe7YwjqkDG7L8mcNsFkhmH6V2b1vXabH9aFAS5ofbZQ%3D%3D&amp;rand=gaadiir&amp;rqs=xHlnLl5UZSnInzplKBxsl8dibHAJtxLZ&amp;pr=jsnousa&amp;p1=clswz&amp;ytt=346895918825477&amp;p5=ihmgt&amp;ybv=0.896631&amp;p2=gxan&amp;ylv=0.896631&amp;pf=https%3A%2F%2Flogin.consultant.ru%2Fdemo-access%2F%3Futm_campaign%3Ddemo-access%26utm_source%3Drulawsru%26utm_medium%3Dbanner%26utm_content%3Dregistration%26utm_term%3Dinsidetext" TargetMode="External"/><Relationship Id="rId11" Type="http://schemas.openxmlformats.org/officeDocument/2006/relationships/theme" Target="theme/theme1.xml"/><Relationship Id="rId5" Type="http://schemas.openxmlformats.org/officeDocument/2006/relationships/hyperlink" Target="https://rulaws.ru/laws/Federalnyy-zakon-ot-29.12.2012-N-273-FZ/" TargetMode="External"/><Relationship Id="rId10" Type="http://schemas.openxmlformats.org/officeDocument/2006/relationships/fontTable" Target="fontTable.xml"/><Relationship Id="rId4" Type="http://schemas.openxmlformats.org/officeDocument/2006/relationships/hyperlink" Target="https://rulaws.ru/acts/Prikaz-Minprosvescheniya-Rossii-ot-16.11.2022-N-992/" TargetMode="Externa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2630</Words>
  <Characters>14994</Characters>
  <Application>Microsoft Office Word</Application>
  <DocSecurity>0</DocSecurity>
  <Lines>124</Lines>
  <Paragraphs>35</Paragraphs>
  <ScaleCrop>false</ScaleCrop>
  <Company>Hewlett-Packard</Company>
  <LinksUpToDate>false</LinksUpToDate>
  <CharactersWithSpaces>17589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2023-10-26T17:21:00Z</dcterms:created>
  <dcterms:modified xsi:type="dcterms:W3CDTF">2023-10-26T17:21:00Z</dcterms:modified>
</cp:coreProperties>
</file>